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000000"/>
          <w:spacing w:val="30"/>
          <w:sz w:val="28"/>
          <w:szCs w:val="28"/>
        </w:rPr>
        <w:t xml:space="preserve">JORDAN AVERY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Senior Product Marketing Manager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San Francisco, CA  •  jordan.avery@email.com  •  (555) 123-4567  •  linkedin.com/in/jordanavery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Product marketing leader with 8+ years driving go-to-market strategy for B2B SaaS. Launched 12 products generating $40M in new ARR, and built cross-functional teams that lifted qualified pipeline by 60% year over year.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Experience</w:t>
      </w:r>
    </w:p>
    <w:p>
      <w:pPr>
        <w:tabs>
          <w:tab w:val="right" w:pos="9026"/>
        </w:tabs>
        <w:spacing w:after="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Senior Product Marketing Manager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Mar 2021 – Present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Northwind Software — San Francisco, CA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Led go-to-market for a flagship analytics product, driving $18M in first-year ARR and 30% attach rate across the existing base.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Built the positioning and messaging framework adopted company-wide, cutting sales ramp time from 90 to 55 days.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Ran win/loss and pricing research that informed a repackaging launch, increasing average deal size by 22%.</w:t>
      </w:r>
    </w:p>
    <w:p>
      <w:pPr>
        <w:tabs>
          <w:tab w:val="right" w:pos="9026"/>
        </w:tabs>
        <w:spacing w:after="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 Marketing Manager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Jun 2017 – Feb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Brightline Analytics — Oakland, CA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Owned launches for 6 products; the top launch reached $9M ARR within four quarters.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Created the competitive intelligence program used by 40+ sellers, improving competitive win rate by 15 points.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Partnered with demand gen on campaigns that grew marketing-sourced pipeline 60% YoY.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Education</w:t>
      </w:r>
    </w:p>
    <w:p>
      <w:pPr>
        <w:tabs>
          <w:tab w:val="right" w:pos="9026"/>
        </w:tabs>
        <w:spacing w:after="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B.S., Business Administration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2013 – 2017</w:t>
      </w:r>
    </w:p>
    <w:p>
      <w:pPr>
        <w:spacing w:after="4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University of California, Berkeley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Skills</w:t>
      </w:r>
    </w:p>
    <w:p>
      <w:r>
        <w:rPr>
          <w:rFonts w:ascii="Calibri" w:cs="Calibri" w:eastAsia="Calibri" w:hAnsi="Calibri"/>
          <w:sz w:val="21"/>
          <w:szCs w:val="21"/>
        </w:rPr>
        <w:t xml:space="preserve">Go-to-Market Strategy  •  Positioning &amp; Messaging  •  Competitive Intelligence  •  Pricing &amp; Packaging  •  Market Research  •  Sales Enablement  •  Cross-functional Leadership  •  Analytics (SQL, Tableau)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2026-07-03T00:51:02.214Z</dcterms:created>
  <dcterms:modified xsi:type="dcterms:W3CDTF">2026-07-03T00:51:02.214Z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