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A1A1A"/>
          <w:spacing w:val="30"/>
          <w:sz w:val="30"/>
          <w:szCs w:val="30"/>
        </w:rPr>
        <w:t xml:space="preserve">JORDAN AVERY</w:t>
      </w:r>
    </w:p>
    <w:p>
      <w:pPr>
        <w:spacing w:after="60"/>
        <w:jc w:val="center"/>
      </w:pPr>
      <w:r>
        <w:rPr>
          <w:rFonts w:ascii="Georgia" w:cs="Georgia" w:eastAsia="Georgia" w:hAnsi="Georgia"/>
          <w:color w:val="333333"/>
          <w:sz w:val="22"/>
          <w:szCs w:val="22"/>
        </w:rPr>
        <w:t xml:space="preserve">Senior Product Marketing Manager</w:t>
      </w:r>
    </w:p>
    <w:p>
      <w:pPr>
        <w:spacing w:after="120"/>
        <w:jc w:val="center"/>
      </w:pPr>
      <w:r>
        <w:rPr>
          <w:rFonts w:ascii="Georgia" w:cs="Georgia" w:eastAsia="Georgia" w:hAnsi="Georgia"/>
          <w:color w:val="555555"/>
          <w:sz w:val="18"/>
          <w:szCs w:val="18"/>
        </w:rPr>
        <w:t xml:space="preserve">San Francisco, CA  •  jordan.avery@email.com  •  (555) 123-4567  •  linkedin.com/in/jordanavery</w:t>
      </w:r>
    </w:p>
    <w:p>
      <w:pPr>
        <w:pBdr>
          <w:bottom w:val="single" w:color="1A1A1A" w:sz="6"/>
        </w:pBdr>
        <w:spacing w:after="80" w:before="240"/>
      </w:pPr>
      <w:r>
        <w:rPr>
          <w:rFonts w:ascii="Georgia" w:cs="Georgia" w:eastAsia="Georgia" w:hAnsi="Georgia"/>
          <w:b/>
          <w:bCs/>
          <w:color w:val="1A1A1A"/>
          <w:spacing w:val="20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Georgia" w:cs="Georgia" w:eastAsia="Georgia" w:hAnsi="Georgia"/>
          <w:sz w:val="21"/>
          <w:szCs w:val="21"/>
        </w:rPr>
        <w:t xml:space="preserve">Product marketing leader with 8+ years driving go-to-market strategy for B2B SaaS. Launched 12 products generating $40M in new ARR, and built cross-functional teams that lifted qualified pipeline by 60% year over year.</w:t>
      </w:r>
    </w:p>
    <w:p>
      <w:pPr>
        <w:pBdr>
          <w:bottom w:val="single" w:color="1A1A1A" w:sz="6"/>
        </w:pBdr>
        <w:spacing w:after="80" w:before="240"/>
      </w:pPr>
      <w:r>
        <w:rPr>
          <w:rFonts w:ascii="Georgia" w:cs="Georgia" w:eastAsia="Georgia" w:hAnsi="Georgia"/>
          <w:b/>
          <w:bCs/>
          <w:color w:val="1A1A1A"/>
          <w:spacing w:val="20"/>
          <w:sz w:val="24"/>
          <w:szCs w:val="24"/>
        </w:rPr>
        <w:t xml:space="preserve">EXPERIENCE</w:t>
      </w:r>
    </w:p>
    <w:p>
      <w:pPr>
        <w:tabs>
          <w:tab w:val="right" w:pos="9026"/>
        </w:tabs>
        <w:spacing w:after="2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Senior Product Marketing Manager</w:t>
      </w:r>
      <w:r>
        <w:rPr>
          <w:rFonts w:ascii="Georgia" w:cs="Georgia" w:eastAsia="Georgia" w:hAnsi="Georgia"/>
          <w:color w:val="555555"/>
          <w:sz w:val="20"/>
          <w:szCs w:val="20"/>
        </w:rPr>
        <w:t xml:space="preserve">	Mar 2021 – Present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444444"/>
          <w:sz w:val="20"/>
          <w:szCs w:val="20"/>
        </w:rPr>
        <w:t xml:space="preserve">Northwind Software — San Francisco, CA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sz w:val="21"/>
          <w:szCs w:val="21"/>
        </w:rPr>
        <w:t xml:space="preserve">Led go-to-market for a flagship analytics product, driving $18M in first-year ARR and 30% attach rate across the existing base.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sz w:val="21"/>
          <w:szCs w:val="21"/>
        </w:rPr>
        <w:t xml:space="preserve">Built the positioning and messaging framework adopted company-wide, cutting sales ramp time from 90 to 55 days.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sz w:val="21"/>
          <w:szCs w:val="21"/>
        </w:rPr>
        <w:t xml:space="preserve">Ran win/loss and pricing research that informed a repackaging launch, increasing average deal size by 22%.</w:t>
      </w:r>
    </w:p>
    <w:p>
      <w:pPr>
        <w:tabs>
          <w:tab w:val="right" w:pos="9026"/>
        </w:tabs>
        <w:spacing w:after="2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Product Marketing Manager</w:t>
      </w:r>
      <w:r>
        <w:rPr>
          <w:rFonts w:ascii="Georgia" w:cs="Georgia" w:eastAsia="Georgia" w:hAnsi="Georgia"/>
          <w:color w:val="555555"/>
          <w:sz w:val="20"/>
          <w:szCs w:val="20"/>
        </w:rPr>
        <w:t xml:space="preserve">	Jun 2017 – Feb 2021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444444"/>
          <w:sz w:val="20"/>
          <w:szCs w:val="20"/>
        </w:rPr>
        <w:t xml:space="preserve">Brightline Analytics — Oakland, CA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sz w:val="21"/>
          <w:szCs w:val="21"/>
        </w:rPr>
        <w:t xml:space="preserve">Owned launches for 6 products; the top launch reached $9M ARR within four quarters.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sz w:val="21"/>
          <w:szCs w:val="21"/>
        </w:rPr>
        <w:t xml:space="preserve">Created the competitive intelligence program used by 40+ sellers, improving competitive win rate by 15 points.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sz w:val="21"/>
          <w:szCs w:val="21"/>
        </w:rPr>
        <w:t xml:space="preserve">Partnered with demand gen on campaigns that grew marketing-sourced pipeline 60% YoY.</w:t>
      </w:r>
    </w:p>
    <w:p>
      <w:pPr>
        <w:pBdr>
          <w:bottom w:val="single" w:color="1A1A1A" w:sz="6"/>
        </w:pBdr>
        <w:spacing w:after="80" w:before="240"/>
      </w:pPr>
      <w:r>
        <w:rPr>
          <w:rFonts w:ascii="Georgia" w:cs="Georgia" w:eastAsia="Georgia" w:hAnsi="Georgia"/>
          <w:b/>
          <w:bCs/>
          <w:color w:val="1A1A1A"/>
          <w:spacing w:val="20"/>
          <w:sz w:val="24"/>
          <w:szCs w:val="24"/>
        </w:rPr>
        <w:t xml:space="preserve">EDUCATION</w:t>
      </w:r>
    </w:p>
    <w:p>
      <w:pPr>
        <w:tabs>
          <w:tab w:val="right" w:pos="9026"/>
        </w:tabs>
        <w:spacing w:after="2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B.S., Business Administration</w:t>
      </w:r>
      <w:r>
        <w:rPr>
          <w:rFonts w:ascii="Georgia" w:cs="Georgia" w:eastAsia="Georgia" w:hAnsi="Georgia"/>
          <w:color w:val="555555"/>
          <w:sz w:val="20"/>
          <w:szCs w:val="20"/>
        </w:rPr>
        <w:t xml:space="preserve">	2013 – 2017</w:t>
      </w:r>
    </w:p>
    <w:p>
      <w:pPr>
        <w:spacing w:after="40"/>
      </w:pPr>
      <w:r>
        <w:rPr>
          <w:rFonts w:ascii="Georgia" w:cs="Georgia" w:eastAsia="Georgia" w:hAnsi="Georgia"/>
          <w:color w:val="444444"/>
          <w:sz w:val="20"/>
          <w:szCs w:val="20"/>
        </w:rPr>
        <w:t xml:space="preserve">University of California, Berkeley</w:t>
      </w:r>
    </w:p>
    <w:p>
      <w:pPr>
        <w:pBdr>
          <w:bottom w:val="single" w:color="1A1A1A" w:sz="6"/>
        </w:pBdr>
        <w:spacing w:after="80" w:before="240"/>
      </w:pPr>
      <w:r>
        <w:rPr>
          <w:rFonts w:ascii="Georgia" w:cs="Georgia" w:eastAsia="Georgia" w:hAnsi="Georgia"/>
          <w:b/>
          <w:bCs/>
          <w:color w:val="1A1A1A"/>
          <w:spacing w:val="20"/>
          <w:sz w:val="24"/>
          <w:szCs w:val="24"/>
        </w:rPr>
        <w:t xml:space="preserve">SKILLS</w:t>
      </w:r>
    </w:p>
    <w:p>
      <w:r>
        <w:rPr>
          <w:rFonts w:ascii="Georgia" w:cs="Georgia" w:eastAsia="Georgia" w:hAnsi="Georgia"/>
          <w:sz w:val="21"/>
          <w:szCs w:val="21"/>
        </w:rPr>
        <w:t xml:space="preserve">Go-to-Market Strategy  •  Positioning &amp; Messaging  •  Competitive Intelligence  •  Pricing &amp; Packaging  •  Market Research  •  Sales Enablement  •  Cross-functional Leadership  •  Analytics (SQL, Tableau)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2026-07-03T00:51:02.162Z</dcterms:created>
  <dcterms:modified xsi:type="dcterms:W3CDTF">2026-07-03T00:51:02.163Z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